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E752" w14:textId="77777777" w:rsidR="004C734C" w:rsidRDefault="00000000">
      <w:pPr>
        <w:spacing w:after="61"/>
        <w:ind w:left="0" w:right="0" w:firstLine="0"/>
        <w:jc w:val="left"/>
      </w:pPr>
      <w:r>
        <w:rPr>
          <w:sz w:val="24"/>
        </w:rPr>
        <w:t>119</w:t>
      </w:r>
      <w:r>
        <w:rPr>
          <w:sz w:val="18"/>
        </w:rPr>
        <w:t xml:space="preserve">TH </w:t>
      </w:r>
      <w:r>
        <w:rPr>
          <w:sz w:val="24"/>
        </w:rPr>
        <w:t xml:space="preserve">CONGRESS </w:t>
      </w:r>
    </w:p>
    <w:p w14:paraId="57C717EB" w14:textId="77777777" w:rsidR="004C734C" w:rsidRDefault="00000000">
      <w:pPr>
        <w:tabs>
          <w:tab w:val="center" w:pos="1030"/>
          <w:tab w:val="center" w:pos="3144"/>
        </w:tabs>
        <w:spacing w:after="0"/>
        <w:ind w:left="0" w:right="0" w:firstLine="0"/>
        <w:jc w:val="left"/>
      </w:pPr>
      <w:r>
        <w:rPr>
          <w:rFonts w:ascii="Calibri" w:eastAsia="Calibri" w:hAnsi="Calibri" w:cs="Calibri"/>
          <w:sz w:val="22"/>
        </w:rPr>
        <w:tab/>
      </w:r>
      <w:r>
        <w:rPr>
          <w:sz w:val="24"/>
        </w:rPr>
        <w:t>1</w:t>
      </w:r>
      <w:r>
        <w:rPr>
          <w:sz w:val="18"/>
        </w:rPr>
        <w:t xml:space="preserve">ST </w:t>
      </w:r>
      <w:r>
        <w:rPr>
          <w:sz w:val="24"/>
        </w:rPr>
        <w:t>S</w:t>
      </w:r>
      <w:r>
        <w:rPr>
          <w:sz w:val="18"/>
        </w:rPr>
        <w:t>ESSION</w:t>
      </w:r>
      <w:r>
        <w:rPr>
          <w:sz w:val="24"/>
        </w:rPr>
        <w:t xml:space="preserve"> </w:t>
      </w:r>
      <w:r>
        <w:rPr>
          <w:sz w:val="24"/>
        </w:rPr>
        <w:tab/>
      </w:r>
      <w:r>
        <w:rPr>
          <w:b/>
          <w:sz w:val="72"/>
        </w:rPr>
        <w:t xml:space="preserve">S. RES. </w:t>
      </w:r>
    </w:p>
    <w:p w14:paraId="0BED7821" w14:textId="77777777" w:rsidR="004C734C" w:rsidRDefault="00000000">
      <w:pPr>
        <w:pStyle w:val="Heading1"/>
      </w:pPr>
      <w:proofErr w:type="spellStart"/>
      <w:r>
        <w:t>ll</w:t>
      </w:r>
      <w:proofErr w:type="spellEnd"/>
      <w:r>
        <w:t xml:space="preserve"> </w:t>
      </w:r>
    </w:p>
    <w:p w14:paraId="302630BA" w14:textId="77777777" w:rsidR="004C734C" w:rsidRDefault="00000000">
      <w:pPr>
        <w:spacing w:after="324"/>
        <w:ind w:left="0" w:right="0" w:firstLine="0"/>
        <w:jc w:val="center"/>
      </w:pPr>
      <w:r>
        <w:rPr>
          <w:sz w:val="22"/>
        </w:rPr>
        <w:t xml:space="preserve">Designating September 2025 as ‘‘National Voting Rights Month’’. </w:t>
      </w:r>
    </w:p>
    <w:p w14:paraId="442825E3" w14:textId="77777777" w:rsidR="004C734C" w:rsidRDefault="00000000">
      <w:pPr>
        <w:spacing w:after="654"/>
        <w:ind w:left="1920" w:right="0" w:firstLine="0"/>
        <w:jc w:val="left"/>
      </w:pPr>
      <w:r>
        <w:rPr>
          <w:rFonts w:ascii="Calibri" w:eastAsia="Calibri" w:hAnsi="Calibri" w:cs="Calibri"/>
          <w:noProof/>
          <w:sz w:val="22"/>
        </w:rPr>
        <mc:AlternateContent>
          <mc:Choice Requires="wpg">
            <w:drawing>
              <wp:inline distT="0" distB="0" distL="0" distR="0" wp14:anchorId="2385BAFA" wp14:editId="5C62BFF7">
                <wp:extent cx="2133600" cy="7620"/>
                <wp:effectExtent l="0" t="0" r="0" b="0"/>
                <wp:docPr id="4469" name="Group 4469"/>
                <wp:cNvGraphicFramePr/>
                <a:graphic xmlns:a="http://schemas.openxmlformats.org/drawingml/2006/main">
                  <a:graphicData uri="http://schemas.microsoft.com/office/word/2010/wordprocessingGroup">
                    <wpg:wgp>
                      <wpg:cNvGrpSpPr/>
                      <wpg:grpSpPr>
                        <a:xfrm>
                          <a:off x="0" y="0"/>
                          <a:ext cx="2133600" cy="7620"/>
                          <a:chOff x="0" y="0"/>
                          <a:chExt cx="2133600" cy="7620"/>
                        </a:xfrm>
                      </wpg:grpSpPr>
                      <wps:wsp>
                        <wps:cNvPr id="19" name="Shape 19"/>
                        <wps:cNvSpPr/>
                        <wps:spPr>
                          <a:xfrm>
                            <a:off x="0" y="0"/>
                            <a:ext cx="2133600" cy="0"/>
                          </a:xfrm>
                          <a:custGeom>
                            <a:avLst/>
                            <a:gdLst/>
                            <a:ahLst/>
                            <a:cxnLst/>
                            <a:rect l="0" t="0" r="0" b="0"/>
                            <a:pathLst>
                              <a:path w="2133600">
                                <a:moveTo>
                                  <a:pt x="0" y="0"/>
                                </a:moveTo>
                                <a:lnTo>
                                  <a:pt x="213360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69" style="width:168pt;height:0.6pt;mso-position-horizontal-relative:char;mso-position-vertical-relative:line" coordsize="21336,76">
                <v:shape id="Shape 19" style="position:absolute;width:21336;height:0;left:0;top:0;" coordsize="2133600,0" path="m0,0l2133600,0">
                  <v:stroke weight="0.6pt" endcap="flat" joinstyle="miter" miterlimit="10" on="true" color="#000000"/>
                  <v:fill on="false" color="#000000" opacity="0"/>
                </v:shape>
              </v:group>
            </w:pict>
          </mc:Fallback>
        </mc:AlternateContent>
      </w:r>
    </w:p>
    <w:p w14:paraId="534258E5" w14:textId="77777777" w:rsidR="004C734C" w:rsidRDefault="00000000">
      <w:pPr>
        <w:spacing w:after="90"/>
        <w:ind w:left="0" w:firstLine="0"/>
        <w:jc w:val="center"/>
      </w:pPr>
      <w:r>
        <w:t xml:space="preserve">IN THE SENATE OF THE UNITED STATES </w:t>
      </w:r>
    </w:p>
    <w:p w14:paraId="33592475" w14:textId="77777777" w:rsidR="004C734C" w:rsidRDefault="00000000">
      <w:pPr>
        <w:spacing w:after="47"/>
        <w:ind w:left="0" w:right="3" w:firstLine="0"/>
        <w:jc w:val="center"/>
      </w:pPr>
      <w:proofErr w:type="spellStart"/>
      <w:r>
        <w:rPr>
          <w:rFonts w:ascii="Calibri" w:eastAsia="Calibri" w:hAnsi="Calibri" w:cs="Calibri"/>
          <w:sz w:val="22"/>
        </w:rPr>
        <w:t>llllllllll</w:t>
      </w:r>
      <w:proofErr w:type="spellEnd"/>
      <w:r>
        <w:rPr>
          <w:rFonts w:ascii="Calibri" w:eastAsia="Calibri" w:hAnsi="Calibri" w:cs="Calibri"/>
          <w:sz w:val="22"/>
        </w:rPr>
        <w:t xml:space="preserve"> </w:t>
      </w:r>
    </w:p>
    <w:p w14:paraId="7DD8591E" w14:textId="4C42685A" w:rsidR="004C734C" w:rsidRDefault="00000000">
      <w:pPr>
        <w:spacing w:after="0" w:line="267" w:lineRule="auto"/>
        <w:ind w:left="440" w:right="0" w:hanging="440"/>
      </w:pPr>
      <w:r>
        <w:rPr>
          <w:sz w:val="22"/>
        </w:rPr>
        <w:t>Mr. W</w:t>
      </w:r>
      <w:r>
        <w:rPr>
          <w:sz w:val="17"/>
        </w:rPr>
        <w:t xml:space="preserve">YDEN </w:t>
      </w:r>
      <w:r>
        <w:rPr>
          <w:sz w:val="22"/>
        </w:rPr>
        <w:t>(for himself, Mr. F</w:t>
      </w:r>
      <w:r>
        <w:rPr>
          <w:sz w:val="17"/>
        </w:rPr>
        <w:t>ETTERMAN</w:t>
      </w:r>
      <w:r>
        <w:rPr>
          <w:sz w:val="22"/>
        </w:rPr>
        <w:t>, Mr. P</w:t>
      </w:r>
      <w:r>
        <w:rPr>
          <w:sz w:val="17"/>
        </w:rPr>
        <w:t>ADILLA</w:t>
      </w:r>
      <w:r>
        <w:rPr>
          <w:sz w:val="22"/>
        </w:rPr>
        <w:t>, Mr. W</w:t>
      </w:r>
      <w:r>
        <w:rPr>
          <w:sz w:val="17"/>
        </w:rPr>
        <w:t>HITEHOUSE</w:t>
      </w:r>
      <w:r>
        <w:rPr>
          <w:sz w:val="22"/>
        </w:rPr>
        <w:t>, Mr. K</w:t>
      </w:r>
      <w:r>
        <w:rPr>
          <w:sz w:val="17"/>
        </w:rPr>
        <w:t>AINE</w:t>
      </w:r>
      <w:r>
        <w:rPr>
          <w:sz w:val="22"/>
        </w:rPr>
        <w:t>, Ms. H</w:t>
      </w:r>
      <w:r>
        <w:rPr>
          <w:sz w:val="17"/>
        </w:rPr>
        <w:t>IRONO</w:t>
      </w:r>
      <w:r>
        <w:rPr>
          <w:sz w:val="22"/>
        </w:rPr>
        <w:t>, Mr. D</w:t>
      </w:r>
      <w:r>
        <w:rPr>
          <w:sz w:val="17"/>
        </w:rPr>
        <w:t>URBIN</w:t>
      </w:r>
      <w:r>
        <w:rPr>
          <w:sz w:val="22"/>
        </w:rPr>
        <w:t>, Mr. B</w:t>
      </w:r>
      <w:r>
        <w:rPr>
          <w:sz w:val="17"/>
        </w:rPr>
        <w:t>LUMENTHAL</w:t>
      </w:r>
      <w:r>
        <w:rPr>
          <w:sz w:val="22"/>
        </w:rPr>
        <w:t>, Mr. K</w:t>
      </w:r>
      <w:r>
        <w:rPr>
          <w:sz w:val="17"/>
        </w:rPr>
        <w:t>ING</w:t>
      </w:r>
      <w:r>
        <w:rPr>
          <w:sz w:val="22"/>
        </w:rPr>
        <w:t>, Mr. W</w:t>
      </w:r>
      <w:r>
        <w:rPr>
          <w:sz w:val="17"/>
        </w:rPr>
        <w:t>ARNER</w:t>
      </w:r>
      <w:r>
        <w:rPr>
          <w:sz w:val="22"/>
        </w:rPr>
        <w:t>, Mr. V</w:t>
      </w:r>
      <w:r>
        <w:rPr>
          <w:sz w:val="17"/>
        </w:rPr>
        <w:t xml:space="preserve">AN </w:t>
      </w:r>
      <w:r>
        <w:rPr>
          <w:sz w:val="22"/>
        </w:rPr>
        <w:t>H</w:t>
      </w:r>
      <w:r>
        <w:rPr>
          <w:sz w:val="17"/>
        </w:rPr>
        <w:t>OLLEN</w:t>
      </w:r>
      <w:r>
        <w:rPr>
          <w:sz w:val="22"/>
        </w:rPr>
        <w:t>, Mr. S</w:t>
      </w:r>
      <w:r>
        <w:rPr>
          <w:sz w:val="17"/>
        </w:rPr>
        <w:t>CHIFF</w:t>
      </w:r>
      <w:r>
        <w:rPr>
          <w:sz w:val="22"/>
        </w:rPr>
        <w:t>, Mr. B</w:t>
      </w:r>
      <w:r>
        <w:rPr>
          <w:sz w:val="17"/>
        </w:rPr>
        <w:t>ENNET</w:t>
      </w:r>
      <w:r>
        <w:rPr>
          <w:sz w:val="22"/>
        </w:rPr>
        <w:t>, Ms. S</w:t>
      </w:r>
      <w:r>
        <w:rPr>
          <w:sz w:val="17"/>
        </w:rPr>
        <w:t>MITH</w:t>
      </w:r>
      <w:r>
        <w:rPr>
          <w:sz w:val="22"/>
        </w:rPr>
        <w:t>, Mr. C</w:t>
      </w:r>
      <w:r>
        <w:rPr>
          <w:sz w:val="17"/>
        </w:rPr>
        <w:t>OONS</w:t>
      </w:r>
      <w:r>
        <w:rPr>
          <w:sz w:val="22"/>
        </w:rPr>
        <w:t>, Ms. D</w:t>
      </w:r>
      <w:r>
        <w:rPr>
          <w:sz w:val="17"/>
        </w:rPr>
        <w:t>UCKWORTH</w:t>
      </w:r>
      <w:r>
        <w:rPr>
          <w:sz w:val="22"/>
        </w:rPr>
        <w:t>, Mr. W</w:t>
      </w:r>
      <w:r>
        <w:rPr>
          <w:sz w:val="17"/>
        </w:rPr>
        <w:t>ELCH</w:t>
      </w:r>
      <w:r>
        <w:rPr>
          <w:sz w:val="22"/>
        </w:rPr>
        <w:t>, Ms. B</w:t>
      </w:r>
      <w:r>
        <w:rPr>
          <w:sz w:val="17"/>
        </w:rPr>
        <w:t>ALDWIN</w:t>
      </w:r>
      <w:r>
        <w:rPr>
          <w:sz w:val="22"/>
        </w:rPr>
        <w:t>, Mr. L</w:t>
      </w:r>
      <w:r>
        <w:rPr>
          <w:sz w:val="17"/>
        </w:rPr>
        <w:t>UJA</w:t>
      </w:r>
      <w:r>
        <w:rPr>
          <w:sz w:val="22"/>
        </w:rPr>
        <w:t>´</w:t>
      </w:r>
      <w:r>
        <w:rPr>
          <w:sz w:val="17"/>
        </w:rPr>
        <w:t>N</w:t>
      </w:r>
      <w:r>
        <w:rPr>
          <w:sz w:val="22"/>
        </w:rPr>
        <w:t>, Ms. K</w:t>
      </w:r>
      <w:r>
        <w:rPr>
          <w:sz w:val="17"/>
        </w:rPr>
        <w:t>LOBUCHAR</w:t>
      </w:r>
      <w:r>
        <w:rPr>
          <w:sz w:val="22"/>
        </w:rPr>
        <w:t>, Mr. M</w:t>
      </w:r>
      <w:r>
        <w:rPr>
          <w:sz w:val="17"/>
        </w:rPr>
        <w:t>ARKEY</w:t>
      </w:r>
      <w:r>
        <w:rPr>
          <w:sz w:val="22"/>
        </w:rPr>
        <w:t>, Ms. A</w:t>
      </w:r>
      <w:r>
        <w:rPr>
          <w:sz w:val="17"/>
        </w:rPr>
        <w:t>LSOBROOKS</w:t>
      </w:r>
      <w:r>
        <w:rPr>
          <w:sz w:val="22"/>
        </w:rPr>
        <w:t>, Ms. C</w:t>
      </w:r>
      <w:r>
        <w:rPr>
          <w:sz w:val="17"/>
        </w:rPr>
        <w:t>ANTWELL</w:t>
      </w:r>
      <w:r>
        <w:rPr>
          <w:sz w:val="22"/>
        </w:rPr>
        <w:t>, Mr. B</w:t>
      </w:r>
      <w:r>
        <w:rPr>
          <w:sz w:val="17"/>
        </w:rPr>
        <w:t>OOKER</w:t>
      </w:r>
      <w:r>
        <w:rPr>
          <w:sz w:val="22"/>
        </w:rPr>
        <w:t>, Mrs. S</w:t>
      </w:r>
      <w:r>
        <w:rPr>
          <w:sz w:val="17"/>
        </w:rPr>
        <w:t>HAHEEN</w:t>
      </w:r>
      <w:r>
        <w:rPr>
          <w:sz w:val="22"/>
        </w:rPr>
        <w:t>, Mr. M</w:t>
      </w:r>
      <w:r>
        <w:rPr>
          <w:sz w:val="17"/>
        </w:rPr>
        <w:t>ERKLEY</w:t>
      </w:r>
      <w:r>
        <w:rPr>
          <w:sz w:val="22"/>
        </w:rPr>
        <w:t>,</w:t>
      </w:r>
      <w:r w:rsidR="008276E0">
        <w:rPr>
          <w:sz w:val="22"/>
        </w:rPr>
        <w:t xml:space="preserve"> </w:t>
      </w:r>
      <w:r w:rsidR="008276E0" w:rsidRPr="008276E0">
        <w:rPr>
          <w:sz w:val="17"/>
          <w:szCs w:val="17"/>
        </w:rPr>
        <w:t>Ms. BLUNT ROCHESTER</w:t>
      </w:r>
      <w:r w:rsidRPr="008276E0">
        <w:rPr>
          <w:sz w:val="17"/>
          <w:szCs w:val="17"/>
        </w:rPr>
        <w:t xml:space="preserve"> </w:t>
      </w:r>
      <w:r>
        <w:rPr>
          <w:sz w:val="22"/>
        </w:rPr>
        <w:t>and Mr. S</w:t>
      </w:r>
      <w:r>
        <w:rPr>
          <w:sz w:val="17"/>
        </w:rPr>
        <w:t>ANDERS</w:t>
      </w:r>
      <w:r>
        <w:rPr>
          <w:sz w:val="22"/>
        </w:rPr>
        <w:t xml:space="preserve">) submitted the following resolution; which was referred to the Committee on </w:t>
      </w:r>
    </w:p>
    <w:p w14:paraId="6FDFD213" w14:textId="77777777" w:rsidR="004C734C" w:rsidRDefault="00000000">
      <w:pPr>
        <w:spacing w:after="285"/>
        <w:ind w:left="440" w:right="0" w:firstLine="0"/>
        <w:jc w:val="left"/>
      </w:pPr>
      <w:proofErr w:type="spellStart"/>
      <w:r>
        <w:rPr>
          <w:rFonts w:ascii="Calibri" w:eastAsia="Calibri" w:hAnsi="Calibri" w:cs="Calibri"/>
          <w:sz w:val="22"/>
        </w:rPr>
        <w:t>llllllllll</w:t>
      </w:r>
      <w:proofErr w:type="spellEnd"/>
      <w:r>
        <w:rPr>
          <w:rFonts w:ascii="Calibri" w:eastAsia="Calibri" w:hAnsi="Calibri" w:cs="Calibri"/>
          <w:sz w:val="22"/>
        </w:rPr>
        <w:t xml:space="preserve"> </w:t>
      </w:r>
    </w:p>
    <w:p w14:paraId="788B1E9B" w14:textId="77777777" w:rsidR="004C734C" w:rsidRDefault="00000000">
      <w:pPr>
        <w:spacing w:after="658"/>
        <w:ind w:left="1920" w:right="0" w:firstLine="0"/>
        <w:jc w:val="left"/>
      </w:pPr>
      <w:r>
        <w:rPr>
          <w:rFonts w:ascii="Calibri" w:eastAsia="Calibri" w:hAnsi="Calibri" w:cs="Calibri"/>
          <w:noProof/>
          <w:sz w:val="22"/>
        </w:rPr>
        <mc:AlternateContent>
          <mc:Choice Requires="wpg">
            <w:drawing>
              <wp:inline distT="0" distB="0" distL="0" distR="0" wp14:anchorId="536B5AF2" wp14:editId="588CC530">
                <wp:extent cx="2133600" cy="7620"/>
                <wp:effectExtent l="0" t="0" r="0" b="0"/>
                <wp:docPr id="4470" name="Group 4470"/>
                <wp:cNvGraphicFramePr/>
                <a:graphic xmlns:a="http://schemas.openxmlformats.org/drawingml/2006/main">
                  <a:graphicData uri="http://schemas.microsoft.com/office/word/2010/wordprocessingGroup">
                    <wpg:wgp>
                      <wpg:cNvGrpSpPr/>
                      <wpg:grpSpPr>
                        <a:xfrm>
                          <a:off x="0" y="0"/>
                          <a:ext cx="2133600" cy="7620"/>
                          <a:chOff x="0" y="0"/>
                          <a:chExt cx="2133600" cy="7620"/>
                        </a:xfrm>
                      </wpg:grpSpPr>
                      <wps:wsp>
                        <wps:cNvPr id="88" name="Shape 88"/>
                        <wps:cNvSpPr/>
                        <wps:spPr>
                          <a:xfrm>
                            <a:off x="0" y="0"/>
                            <a:ext cx="2133600" cy="0"/>
                          </a:xfrm>
                          <a:custGeom>
                            <a:avLst/>
                            <a:gdLst/>
                            <a:ahLst/>
                            <a:cxnLst/>
                            <a:rect l="0" t="0" r="0" b="0"/>
                            <a:pathLst>
                              <a:path w="2133600">
                                <a:moveTo>
                                  <a:pt x="0" y="0"/>
                                </a:moveTo>
                                <a:lnTo>
                                  <a:pt x="213360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0" style="width:168pt;height:0.6pt;mso-position-horizontal-relative:char;mso-position-vertical-relative:line" coordsize="21336,76">
                <v:shape id="Shape 88" style="position:absolute;width:21336;height:0;left:0;top:0;" coordsize="2133600,0" path="m0,0l2133600,0">
                  <v:stroke weight="0.6pt" endcap="flat" joinstyle="miter" miterlimit="10" on="true" color="#000000"/>
                  <v:fill on="false" color="#000000" opacity="0"/>
                </v:shape>
              </v:group>
            </w:pict>
          </mc:Fallback>
        </mc:AlternateContent>
      </w:r>
    </w:p>
    <w:p w14:paraId="0C221C52" w14:textId="77777777" w:rsidR="004C734C" w:rsidRDefault="00000000">
      <w:pPr>
        <w:pStyle w:val="Heading2"/>
      </w:pPr>
      <w:r>
        <w:t xml:space="preserve">RESOLUTION </w:t>
      </w:r>
    </w:p>
    <w:p w14:paraId="13A51A95" w14:textId="77777777" w:rsidR="004C734C" w:rsidRDefault="00000000">
      <w:pPr>
        <w:spacing w:after="243"/>
        <w:ind w:left="3108" w:right="0" w:hanging="2836"/>
      </w:pPr>
      <w:r>
        <w:t xml:space="preserve">Designating September 2025 as ‘‘National Voting Rights Month’’. </w:t>
      </w:r>
    </w:p>
    <w:p w14:paraId="3FF980B9" w14:textId="34D9352A" w:rsidR="004C734C" w:rsidRDefault="00000000">
      <w:pPr>
        <w:spacing w:after="163"/>
        <w:ind w:left="465" w:right="0" w:hanging="480"/>
      </w:pPr>
      <w:r>
        <w:t xml:space="preserve">Whereas voting is </w:t>
      </w:r>
      <w:r w:rsidR="008276E0">
        <w:t>one</w:t>
      </w:r>
      <w:r>
        <w:t xml:space="preserve"> of the single most important rights that can be exercised in a </w:t>
      </w:r>
      <w:proofErr w:type="gramStart"/>
      <w:r>
        <w:t>democracy;</w:t>
      </w:r>
      <w:proofErr w:type="gramEnd"/>
      <w:r>
        <w:t xml:space="preserve"> </w:t>
      </w:r>
    </w:p>
    <w:p w14:paraId="61CC14B1" w14:textId="77777777" w:rsidR="004C734C" w:rsidRDefault="00000000">
      <w:pPr>
        <w:spacing w:after="163"/>
        <w:ind w:left="465" w:right="0" w:hanging="480"/>
      </w:pPr>
      <w:r>
        <w:t xml:space="preserve">Whereas, over the course of history, various voter suppression laws in the United States have hindered, and even prohibited, certain individuals and groups from exercising the right to </w:t>
      </w:r>
      <w:proofErr w:type="gramStart"/>
      <w:r>
        <w:t>vote;</w:t>
      </w:r>
      <w:proofErr w:type="gramEnd"/>
      <w:r>
        <w:t xml:space="preserve"> </w:t>
      </w:r>
    </w:p>
    <w:p w14:paraId="6D42C22F" w14:textId="77777777" w:rsidR="004C734C" w:rsidRDefault="00000000">
      <w:pPr>
        <w:spacing w:after="163"/>
        <w:ind w:left="465" w:right="0" w:hanging="480"/>
      </w:pPr>
      <w:r>
        <w:t xml:space="preserve">Whereas, during the 19th and early 20th centuries, Native Americans and people who were born to United States citizens abroad, people who spoke a language other than </w:t>
      </w:r>
      <w:r>
        <w:lastRenderedPageBreak/>
        <w:t xml:space="preserve">English, and people who were formerly subjected to slavery were denied full citizenship and prevented from voting by English literacy </w:t>
      </w:r>
      <w:proofErr w:type="gramStart"/>
      <w:r>
        <w:t>tests;</w:t>
      </w:r>
      <w:proofErr w:type="gramEnd"/>
      <w:r>
        <w:t xml:space="preserve"> </w:t>
      </w:r>
    </w:p>
    <w:p w14:paraId="352076E4" w14:textId="77777777" w:rsidR="004C734C" w:rsidRDefault="00000000">
      <w:pPr>
        <w:spacing w:after="163"/>
        <w:ind w:left="465" w:right="0" w:hanging="480"/>
      </w:pPr>
      <w:r>
        <w:t xml:space="preserve">Whereas, since the 1870s, minority groups such as Black Americans in the South have suffered from the oppressive effects of Jim Crow laws that were designed to prevent political, economic, and social </w:t>
      </w:r>
      <w:proofErr w:type="gramStart"/>
      <w:r>
        <w:t>mobility;</w:t>
      </w:r>
      <w:proofErr w:type="gramEnd"/>
      <w:r>
        <w:t xml:space="preserve"> </w:t>
      </w:r>
    </w:p>
    <w:p w14:paraId="397DDF5F" w14:textId="77777777" w:rsidR="004C734C" w:rsidRDefault="00000000">
      <w:pPr>
        <w:spacing w:after="163"/>
        <w:ind w:left="465" w:right="0" w:hanging="480"/>
      </w:pPr>
      <w:r>
        <w:t xml:space="preserve">Whereas Black Americans, Latinos, Asian Americans, Native Americans, and other underrepresented voters were subject to violence, poll taxes, literacy tests, all-White primaries, property ownership tests, and grandfather clauses that were designed to suppress the right of those underrepresented individuals to </w:t>
      </w:r>
      <w:proofErr w:type="gramStart"/>
      <w:r>
        <w:t>vote;</w:t>
      </w:r>
      <w:proofErr w:type="gramEnd"/>
      <w:r>
        <w:t xml:space="preserve"> </w:t>
      </w:r>
    </w:p>
    <w:p w14:paraId="2CEF117C" w14:textId="77777777" w:rsidR="004C734C" w:rsidRDefault="00000000">
      <w:pPr>
        <w:spacing w:after="163"/>
        <w:ind w:left="465" w:right="0" w:hanging="480"/>
      </w:pPr>
      <w:r>
        <w:t xml:space="preserve">Whereas, as of 2024, 4,000,000 people in the United States were disenfranchised from voting because of a felony conviction, including 1 in 16 Black adults, due to the shameful entanglement of racial injustice in the criminal legal system and voting access in the United </w:t>
      </w:r>
      <w:proofErr w:type="gramStart"/>
      <w:r>
        <w:t>States;</w:t>
      </w:r>
      <w:proofErr w:type="gramEnd"/>
      <w:r>
        <w:t xml:space="preserve"> </w:t>
      </w:r>
    </w:p>
    <w:p w14:paraId="6A7E90F2" w14:textId="77777777" w:rsidR="004C734C" w:rsidRDefault="00000000">
      <w:pPr>
        <w:spacing w:after="163"/>
        <w:ind w:left="465" w:right="0" w:hanging="480"/>
      </w:pPr>
      <w:r>
        <w:t xml:space="preserve">Whereas members of the </w:t>
      </w:r>
      <w:proofErr w:type="gramStart"/>
      <w:r>
        <w:t>aforementioned groups</w:t>
      </w:r>
      <w:proofErr w:type="gramEnd"/>
      <w:r>
        <w:t xml:space="preserve"> and others are currently, in some cases, subject to intimidation, voter roll purges, and financial barriers that act effectively as modern-day poll </w:t>
      </w:r>
      <w:proofErr w:type="gramStart"/>
      <w:r>
        <w:t>taxes;</w:t>
      </w:r>
      <w:proofErr w:type="gramEnd"/>
      <w:r>
        <w:t xml:space="preserve"> </w:t>
      </w:r>
    </w:p>
    <w:p w14:paraId="148B7805" w14:textId="77777777" w:rsidR="004C734C" w:rsidRDefault="00000000">
      <w:pPr>
        <w:spacing w:after="163"/>
        <w:ind w:left="465" w:right="0" w:hanging="480"/>
      </w:pPr>
      <w:r>
        <w:t xml:space="preserve">Whereas, in 1965, Congress passed the Voting Rights Act of 1965 (52 U.S.C. 10301 et seq.) to protect the right of Black Americans and other traditionally disenfranchised groups to vote, among other </w:t>
      </w:r>
      <w:proofErr w:type="gramStart"/>
      <w:r>
        <w:t>reasons;</w:t>
      </w:r>
      <w:proofErr w:type="gramEnd"/>
      <w:r>
        <w:t xml:space="preserve"> </w:t>
      </w:r>
    </w:p>
    <w:p w14:paraId="45882511" w14:textId="77777777" w:rsidR="004C734C" w:rsidRDefault="00000000">
      <w:pPr>
        <w:spacing w:after="163"/>
        <w:ind w:left="465" w:right="0" w:hanging="480"/>
      </w:pPr>
      <w:r>
        <w:t xml:space="preserve">Whereas, in 2013, in the landmark case of Shelby County v. Holder, 570 U.S. 529 (2013), the Supreme Court of the United States invalidated section 4 of the Voting Rights Act of 1965 (52 U.S.C. 10303), dismantling the preclearance formula provision in that Act that protected voters in States and localities that historically have suppressed the right of minorities to </w:t>
      </w:r>
      <w:proofErr w:type="gramStart"/>
      <w:r>
        <w:t>vote;</w:t>
      </w:r>
      <w:proofErr w:type="gramEnd"/>
      <w:r>
        <w:t xml:space="preserve"> </w:t>
      </w:r>
    </w:p>
    <w:p w14:paraId="1302E16F" w14:textId="77777777" w:rsidR="004C734C" w:rsidRDefault="00000000">
      <w:pPr>
        <w:spacing w:after="163"/>
        <w:ind w:left="465" w:right="0" w:hanging="480"/>
      </w:pPr>
      <w:r>
        <w:lastRenderedPageBreak/>
        <w:t xml:space="preserve">Whereas, since the invalidation of the preclearance formula provision of the Voting Rights Act of 1965 (52 U.S.C. 10301 et seq.), gerrymandered districts in many States have gone unchallenged and have become less likely to be invalidated by the </w:t>
      </w:r>
      <w:proofErr w:type="gramStart"/>
      <w:r>
        <w:t>courts;</w:t>
      </w:r>
      <w:proofErr w:type="gramEnd"/>
      <w:r>
        <w:t xml:space="preserve"> </w:t>
      </w:r>
    </w:p>
    <w:p w14:paraId="708F1425" w14:textId="77777777" w:rsidR="004C734C" w:rsidRDefault="00000000">
      <w:pPr>
        <w:spacing w:after="163"/>
        <w:ind w:left="465" w:right="0" w:hanging="480"/>
      </w:pPr>
      <w:r>
        <w:t xml:space="preserve">Whereas gerrymandered districts in many States have been found to have a discriminatory impact on traditionally disenfranchised minorities through tactics that include ‘‘cracking’’, diluting the voting power of minorities across many districts, and ‘‘packing’’, concentrating the power of minority voters into 1 district to reduce their voting power in other </w:t>
      </w:r>
      <w:proofErr w:type="gramStart"/>
      <w:r>
        <w:t>districts;</w:t>
      </w:r>
      <w:proofErr w:type="gramEnd"/>
      <w:r>
        <w:t xml:space="preserve"> </w:t>
      </w:r>
    </w:p>
    <w:p w14:paraId="3C04D1D1" w14:textId="77777777" w:rsidR="004C734C" w:rsidRDefault="00000000">
      <w:pPr>
        <w:spacing w:after="163"/>
        <w:ind w:left="465" w:right="0" w:hanging="480"/>
      </w:pPr>
      <w:r>
        <w:t xml:space="preserve">Whereas the courts have found the congressional and, in some cases, State legislative district maps in Texas, North Carolina, Florida, Pennsylvania, Ohio, Wisconsin, Alabama, and Louisiana to be gerrymandered districts that were created to favor some groups over </w:t>
      </w:r>
      <w:proofErr w:type="gramStart"/>
      <w:r>
        <w:t>others;</w:t>
      </w:r>
      <w:proofErr w:type="gramEnd"/>
      <w:r>
        <w:t xml:space="preserve"> </w:t>
      </w:r>
    </w:p>
    <w:p w14:paraId="1FF21ADD" w14:textId="77777777" w:rsidR="004C734C" w:rsidRDefault="00000000">
      <w:pPr>
        <w:spacing w:after="163"/>
        <w:ind w:left="465" w:right="0" w:hanging="480"/>
      </w:pPr>
      <w:r>
        <w:t xml:space="preserve">Whereas, despite courts finding some State legislative district maps to be gerrymandered, Republican-controlled State legislatures in 2025 are actively working to further gerrymandering before future elections are </w:t>
      </w:r>
      <w:proofErr w:type="gramStart"/>
      <w:r>
        <w:t>held;</w:t>
      </w:r>
      <w:proofErr w:type="gramEnd"/>
      <w:r>
        <w:t xml:space="preserve"> </w:t>
      </w:r>
    </w:p>
    <w:p w14:paraId="25FD6541" w14:textId="77777777" w:rsidR="004C734C" w:rsidRDefault="00000000">
      <w:pPr>
        <w:spacing w:after="163"/>
        <w:ind w:left="465" w:right="0" w:hanging="480"/>
      </w:pPr>
      <w:r>
        <w:t xml:space="preserve">Whereas these restrictive voting laws encompass cutbacks in early voting, voter roll purges, placement of faulty equipment in minority communities, requirement of photo identification, and the elimination of </w:t>
      </w:r>
      <w:proofErr w:type="gramStart"/>
      <w:r>
        <w:t>same-day</w:t>
      </w:r>
      <w:proofErr w:type="gramEnd"/>
      <w:r>
        <w:t xml:space="preserve"> </w:t>
      </w:r>
      <w:proofErr w:type="gramStart"/>
      <w:r>
        <w:t>registration;</w:t>
      </w:r>
      <w:proofErr w:type="gramEnd"/>
      <w:r>
        <w:t xml:space="preserve"> </w:t>
      </w:r>
    </w:p>
    <w:p w14:paraId="052247B5" w14:textId="77777777" w:rsidR="004C734C" w:rsidRDefault="00000000">
      <w:pPr>
        <w:spacing w:after="163"/>
        <w:ind w:left="465" w:right="0" w:hanging="480"/>
      </w:pPr>
      <w:r>
        <w:t xml:space="preserve">Whereas these policies could outright disenfranchise or make voting much more difficult for more than 80,000,000 minority, elderly, poor, and disabled voters, among other </w:t>
      </w:r>
      <w:proofErr w:type="gramStart"/>
      <w:r>
        <w:t>groups;</w:t>
      </w:r>
      <w:proofErr w:type="gramEnd"/>
      <w:r>
        <w:t xml:space="preserve"> </w:t>
      </w:r>
    </w:p>
    <w:p w14:paraId="0F259D1C" w14:textId="77777777" w:rsidR="004C734C" w:rsidRDefault="00000000">
      <w:pPr>
        <w:spacing w:after="163"/>
        <w:ind w:left="465" w:right="0" w:hanging="480"/>
      </w:pPr>
      <w:r>
        <w:t xml:space="preserve">Whereas, in 2016, discriminatory laws in North Carolina, Wisconsin, North Dakota, and Texas were ruled to violate the rights of voters and were overturned by the </w:t>
      </w:r>
      <w:proofErr w:type="gramStart"/>
      <w:r>
        <w:t>courts;</w:t>
      </w:r>
      <w:proofErr w:type="gramEnd"/>
      <w:r>
        <w:t xml:space="preserve"> </w:t>
      </w:r>
    </w:p>
    <w:p w14:paraId="3108F10C" w14:textId="77777777" w:rsidR="004C734C" w:rsidRDefault="00000000">
      <w:pPr>
        <w:spacing w:after="163"/>
        <w:ind w:left="465" w:right="0" w:hanging="480"/>
      </w:pPr>
      <w:r>
        <w:t xml:space="preserve">Whereas the decision of the Supreme Court of the United States in Shelby County v. Holder, 570 U.S. 529 (2013), calls on </w:t>
      </w:r>
      <w:r>
        <w:lastRenderedPageBreak/>
        <w:t>Congress to update the formula in the Voting Rights Act of 1965 (52 U.S.C. 10301 et seq.</w:t>
      </w:r>
      <w:proofErr w:type="gramStart"/>
      <w:r>
        <w:t>);</w:t>
      </w:r>
      <w:proofErr w:type="gramEnd"/>
      <w:r>
        <w:t xml:space="preserve"> </w:t>
      </w:r>
    </w:p>
    <w:p w14:paraId="3F1423D7" w14:textId="77777777" w:rsidR="004C734C" w:rsidRDefault="00000000">
      <w:pPr>
        <w:spacing w:after="163"/>
        <w:ind w:left="465" w:right="0" w:hanging="480"/>
      </w:pPr>
      <w:r>
        <w:t xml:space="preserve">Whereas addressing the challenges of administering future elections requires increasing the accessibility of vote-by- mail and other limited-contact options to ensure access to the ballot and the protection of the health and safety of voters, and access to the ballot amid a global pandemic like the Coronavirus Disease 2019 public health </w:t>
      </w:r>
      <w:proofErr w:type="gramStart"/>
      <w:r>
        <w:t>emergency;</w:t>
      </w:r>
      <w:proofErr w:type="gramEnd"/>
      <w:r>
        <w:t xml:space="preserve"> </w:t>
      </w:r>
    </w:p>
    <w:p w14:paraId="02AFB7B7" w14:textId="77777777" w:rsidR="004C734C" w:rsidRDefault="00000000">
      <w:pPr>
        <w:spacing w:after="163"/>
        <w:ind w:left="465" w:right="0" w:hanging="480"/>
      </w:pPr>
      <w:r>
        <w:t xml:space="preserve">Whereas Congress must work to combat any attempts to dismantle or underfund the United States Postal Service or obstruct the passage of the mail as blatant tactics of voter suppression and election </w:t>
      </w:r>
      <w:proofErr w:type="gramStart"/>
      <w:r>
        <w:t>interference;</w:t>
      </w:r>
      <w:proofErr w:type="gramEnd"/>
      <w:r>
        <w:t xml:space="preserve"> </w:t>
      </w:r>
    </w:p>
    <w:p w14:paraId="2A279B55" w14:textId="77777777" w:rsidR="004C734C" w:rsidRDefault="00000000">
      <w:pPr>
        <w:spacing w:after="163"/>
        <w:ind w:left="465" w:right="0" w:hanging="480"/>
      </w:pPr>
      <w:r>
        <w:t xml:space="preserve">Whereas following the 2020 elections there has been a relentless attack on the right to vote with more than 400 bills having been introduced to roll back the right to vote, including such bills being introduced in almost every State and at least 44 of such bills having been signed into law in 18 </w:t>
      </w:r>
      <w:proofErr w:type="gramStart"/>
      <w:r>
        <w:t>States;</w:t>
      </w:r>
      <w:proofErr w:type="gramEnd"/>
      <w:r>
        <w:t xml:space="preserve"> </w:t>
      </w:r>
    </w:p>
    <w:p w14:paraId="4C7EDA08" w14:textId="77777777" w:rsidR="004C734C" w:rsidRDefault="00000000">
      <w:pPr>
        <w:spacing w:after="43"/>
        <w:ind w:left="465" w:right="0" w:hanging="480"/>
      </w:pPr>
      <w:r>
        <w:t xml:space="preserve">Whereas the Trump administration has repeatedly attempted to restrict voter registration and access to the ballot, including vote-by-mail, for eligible citizens of the United </w:t>
      </w:r>
    </w:p>
    <w:p w14:paraId="397F40B2" w14:textId="77777777" w:rsidR="004C734C" w:rsidRDefault="00000000">
      <w:pPr>
        <w:spacing w:after="0"/>
        <w:ind w:left="490" w:right="0"/>
      </w:pPr>
      <w:proofErr w:type="gramStart"/>
      <w:r>
        <w:t>States;</w:t>
      </w:r>
      <w:proofErr w:type="gramEnd"/>
      <w:r>
        <w:t xml:space="preserve"> </w:t>
      </w:r>
    </w:p>
    <w:p w14:paraId="61E1B3B2" w14:textId="77777777" w:rsidR="004C734C" w:rsidRDefault="00000000">
      <w:pPr>
        <w:spacing w:after="163"/>
        <w:ind w:left="465" w:right="0" w:hanging="480"/>
      </w:pPr>
      <w:r>
        <w:t xml:space="preserve">Whereas there is much more work to be done to ensure all citizens of the United States have the right to vote through free, fair, and accessible elections, and Congress must exercise its constitutional authority to protect the right to </w:t>
      </w:r>
      <w:proofErr w:type="gramStart"/>
      <w:r>
        <w:t>vote;</w:t>
      </w:r>
      <w:proofErr w:type="gramEnd"/>
      <w:r>
        <w:t xml:space="preserve"> </w:t>
      </w:r>
    </w:p>
    <w:p w14:paraId="2AB794FF" w14:textId="77777777" w:rsidR="004C734C" w:rsidRDefault="00000000">
      <w:pPr>
        <w:spacing w:after="163"/>
        <w:ind w:left="465" w:right="0" w:hanging="480"/>
      </w:pPr>
      <w:r>
        <w:t xml:space="preserve">Whereas National Voter Registration Day in 2025 is Tuesday, September 16; and </w:t>
      </w:r>
    </w:p>
    <w:p w14:paraId="5FDBD29A" w14:textId="77777777" w:rsidR="004C734C" w:rsidRDefault="00000000">
      <w:pPr>
        <w:spacing w:after="50"/>
        <w:ind w:left="-5" w:right="0"/>
      </w:pPr>
      <w:r>
        <w:t xml:space="preserve">Whereas September 2025 would be an appropriate month— </w:t>
      </w:r>
    </w:p>
    <w:p w14:paraId="0F2B413B" w14:textId="77777777" w:rsidR="004C734C" w:rsidRDefault="00000000">
      <w:pPr>
        <w:numPr>
          <w:ilvl w:val="0"/>
          <w:numId w:val="1"/>
        </w:numPr>
        <w:spacing w:after="43"/>
        <w:ind w:right="0" w:firstLine="560"/>
      </w:pPr>
      <w:r>
        <w:t xml:space="preserve">to designate as ‘‘National Voting Rights </w:t>
      </w:r>
      <w:proofErr w:type="gramStart"/>
      <w:r>
        <w:t>Month’’</w:t>
      </w:r>
      <w:proofErr w:type="gramEnd"/>
      <w:r>
        <w:t xml:space="preserve">; and </w:t>
      </w:r>
    </w:p>
    <w:p w14:paraId="09721B66" w14:textId="77777777" w:rsidR="004C734C" w:rsidRDefault="00000000">
      <w:pPr>
        <w:numPr>
          <w:ilvl w:val="0"/>
          <w:numId w:val="1"/>
        </w:numPr>
        <w:ind w:right="0" w:firstLine="560"/>
      </w:pPr>
      <w:r>
        <w:t xml:space="preserve">to ensure that, through the registration of voters and awareness of elections, the democracy of the United States </w:t>
      </w:r>
      <w:r>
        <w:lastRenderedPageBreak/>
        <w:t xml:space="preserve">includes all citizens of the United States: Now, therefore, be it </w:t>
      </w:r>
    </w:p>
    <w:p w14:paraId="7991DCE9" w14:textId="77777777" w:rsidR="004C734C" w:rsidRDefault="00000000">
      <w:pPr>
        <w:numPr>
          <w:ilvl w:val="0"/>
          <w:numId w:val="2"/>
        </w:numPr>
        <w:ind w:right="0" w:hanging="900"/>
      </w:pPr>
      <w:r>
        <w:rPr>
          <w:rFonts w:ascii="Calibri" w:eastAsia="Calibri" w:hAnsi="Calibri" w:cs="Calibri"/>
          <w:i/>
        </w:rPr>
        <w:t xml:space="preserve">Resolved, </w:t>
      </w:r>
      <w:r>
        <w:t xml:space="preserve">That the Senate— </w:t>
      </w:r>
    </w:p>
    <w:p w14:paraId="6BD4D412" w14:textId="77777777" w:rsidR="004C734C" w:rsidRDefault="00000000">
      <w:pPr>
        <w:numPr>
          <w:ilvl w:val="0"/>
          <w:numId w:val="2"/>
        </w:numPr>
        <w:spacing w:after="1" w:line="419" w:lineRule="auto"/>
        <w:ind w:right="0" w:hanging="900"/>
      </w:pPr>
      <w:r>
        <w:t>(1) designates September 2025 as ‘‘National 3 Voting Rights Month’</w:t>
      </w:r>
      <w:proofErr w:type="gramStart"/>
      <w:r>
        <w:t>’;</w:t>
      </w:r>
      <w:proofErr w:type="gramEnd"/>
      <w:r>
        <w:t xml:space="preserve"> </w:t>
      </w:r>
    </w:p>
    <w:p w14:paraId="5ED8B970" w14:textId="77777777" w:rsidR="004C734C" w:rsidRDefault="00000000">
      <w:pPr>
        <w:numPr>
          <w:ilvl w:val="0"/>
          <w:numId w:val="3"/>
        </w:numPr>
        <w:ind w:right="0" w:hanging="1460"/>
      </w:pPr>
      <w:r>
        <w:t xml:space="preserve">(2) encourages all people in the United States </w:t>
      </w:r>
    </w:p>
    <w:p w14:paraId="3B4EE41D" w14:textId="77777777" w:rsidR="004C734C" w:rsidRDefault="00000000">
      <w:pPr>
        <w:numPr>
          <w:ilvl w:val="0"/>
          <w:numId w:val="3"/>
        </w:numPr>
        <w:ind w:right="0" w:hanging="1460"/>
      </w:pPr>
      <w:r>
        <w:t xml:space="preserve">to uphold the right of every citizen to exercise the </w:t>
      </w:r>
    </w:p>
    <w:p w14:paraId="5C9211FD" w14:textId="77777777" w:rsidR="004C734C" w:rsidRDefault="00000000">
      <w:pPr>
        <w:numPr>
          <w:ilvl w:val="0"/>
          <w:numId w:val="3"/>
        </w:numPr>
        <w:ind w:right="0" w:hanging="1460"/>
      </w:pPr>
      <w:r>
        <w:t xml:space="preserve">sacred and fundamental right to </w:t>
      </w:r>
      <w:proofErr w:type="gramStart"/>
      <w:r>
        <w:t>vote;</w:t>
      </w:r>
      <w:proofErr w:type="gramEnd"/>
      <w:r>
        <w:t xml:space="preserve"> </w:t>
      </w:r>
    </w:p>
    <w:p w14:paraId="6AC8EE80" w14:textId="77777777" w:rsidR="004C734C" w:rsidRDefault="00000000">
      <w:pPr>
        <w:numPr>
          <w:ilvl w:val="0"/>
          <w:numId w:val="3"/>
        </w:numPr>
        <w:spacing w:after="0" w:line="419" w:lineRule="auto"/>
        <w:ind w:right="0" w:hanging="1460"/>
      </w:pPr>
      <w:r>
        <w:t xml:space="preserve">(3) encourages Congress to pass— 8 (A) the John R. Lewis Voting Rights Ad9 </w:t>
      </w:r>
      <w:proofErr w:type="spellStart"/>
      <w:r>
        <w:t>vancement</w:t>
      </w:r>
      <w:proofErr w:type="spellEnd"/>
      <w:r>
        <w:t xml:space="preserve"> Act of 2025 (S. 2523, H. R. 14, </w:t>
      </w:r>
    </w:p>
    <w:p w14:paraId="39728B4D" w14:textId="77777777" w:rsidR="004C734C" w:rsidRDefault="00000000">
      <w:pPr>
        <w:numPr>
          <w:ilvl w:val="0"/>
          <w:numId w:val="4"/>
        </w:numPr>
        <w:ind w:right="0" w:hanging="1600"/>
      </w:pPr>
      <w:r>
        <w:t xml:space="preserve">119th Congress), to strengthen protections for </w:t>
      </w:r>
    </w:p>
    <w:p w14:paraId="7A56EAE7" w14:textId="77777777" w:rsidR="004C734C" w:rsidRDefault="00000000">
      <w:pPr>
        <w:numPr>
          <w:ilvl w:val="0"/>
          <w:numId w:val="4"/>
        </w:numPr>
        <w:spacing w:after="0" w:line="420" w:lineRule="auto"/>
        <w:ind w:right="0" w:hanging="1600"/>
      </w:pPr>
      <w:r>
        <w:t xml:space="preserve">voters by restoring and modernizing key protec12 </w:t>
      </w:r>
      <w:proofErr w:type="spellStart"/>
      <w:r>
        <w:t>tions</w:t>
      </w:r>
      <w:proofErr w:type="spellEnd"/>
      <w:r>
        <w:t xml:space="preserve"> in the Voting Rights Act of 1965 (52 </w:t>
      </w:r>
    </w:p>
    <w:p w14:paraId="737E8944" w14:textId="77777777" w:rsidR="004C734C" w:rsidRDefault="00000000">
      <w:pPr>
        <w:spacing w:after="1" w:line="419" w:lineRule="auto"/>
        <w:ind w:left="-5" w:right="0"/>
      </w:pPr>
      <w:r>
        <w:t>13</w:t>
      </w:r>
      <w:r>
        <w:tab/>
        <w:t xml:space="preserve">U.S.C. 10301 et seq.) to prevent discriminatory 1 gerrymandering and to ensure minority voting 2 rights are safeguarded; and </w:t>
      </w:r>
    </w:p>
    <w:p w14:paraId="5864DE87" w14:textId="77777777" w:rsidR="004C734C" w:rsidRDefault="00000000">
      <w:pPr>
        <w:numPr>
          <w:ilvl w:val="0"/>
          <w:numId w:val="5"/>
        </w:numPr>
        <w:ind w:right="0" w:hanging="2020"/>
      </w:pPr>
      <w:r>
        <w:t xml:space="preserve">(B) other voting rights legislation that </w:t>
      </w:r>
    </w:p>
    <w:p w14:paraId="30B9BF61" w14:textId="77777777" w:rsidR="004C734C" w:rsidRDefault="00000000">
      <w:pPr>
        <w:numPr>
          <w:ilvl w:val="0"/>
          <w:numId w:val="5"/>
        </w:numPr>
        <w:spacing w:after="1" w:line="419" w:lineRule="auto"/>
        <w:ind w:right="0" w:hanging="2020"/>
      </w:pPr>
      <w:r>
        <w:t xml:space="preserve">seeks to advance voting rights and protect elec5 </w:t>
      </w:r>
      <w:proofErr w:type="spellStart"/>
      <w:r>
        <w:t>tions</w:t>
      </w:r>
      <w:proofErr w:type="spellEnd"/>
      <w:r>
        <w:t xml:space="preserve"> in the United </w:t>
      </w:r>
      <w:proofErr w:type="gramStart"/>
      <w:r>
        <w:t>States;</w:t>
      </w:r>
      <w:proofErr w:type="gramEnd"/>
      <w:r>
        <w:t xml:space="preserve"> </w:t>
      </w:r>
    </w:p>
    <w:p w14:paraId="60EFBA03" w14:textId="77777777" w:rsidR="004C734C" w:rsidRDefault="00000000">
      <w:pPr>
        <w:numPr>
          <w:ilvl w:val="0"/>
          <w:numId w:val="6"/>
        </w:numPr>
        <w:ind w:right="0" w:hanging="1460"/>
      </w:pPr>
      <w:r>
        <w:t xml:space="preserve">(4) recommends that public schools and </w:t>
      </w:r>
      <w:proofErr w:type="spellStart"/>
      <w:r>
        <w:t>univer</w:t>
      </w:r>
      <w:proofErr w:type="spellEnd"/>
      <w:r>
        <w:t>-</w:t>
      </w:r>
    </w:p>
    <w:p w14:paraId="67BFF3C2" w14:textId="77777777" w:rsidR="004C734C" w:rsidRDefault="00000000">
      <w:pPr>
        <w:numPr>
          <w:ilvl w:val="0"/>
          <w:numId w:val="6"/>
        </w:numPr>
        <w:spacing w:after="0" w:line="419" w:lineRule="auto"/>
        <w:ind w:right="0" w:hanging="1460"/>
      </w:pPr>
      <w:proofErr w:type="spellStart"/>
      <w:r>
        <w:t>sities</w:t>
      </w:r>
      <w:proofErr w:type="spellEnd"/>
      <w:r>
        <w:t xml:space="preserve"> in the United States develop an academic cur8 </w:t>
      </w:r>
      <w:proofErr w:type="spellStart"/>
      <w:r>
        <w:t>riculum</w:t>
      </w:r>
      <w:proofErr w:type="spellEnd"/>
      <w:r>
        <w:t xml:space="preserve"> that educates students about— </w:t>
      </w:r>
    </w:p>
    <w:p w14:paraId="49F73E2E" w14:textId="77777777" w:rsidR="004C734C" w:rsidRDefault="00000000">
      <w:pPr>
        <w:spacing w:after="5" w:line="420" w:lineRule="auto"/>
        <w:ind w:left="-15" w:right="0" w:firstLine="140"/>
      </w:pPr>
      <w:r>
        <w:lastRenderedPageBreak/>
        <w:t xml:space="preserve">9 (A) the importance of voting, how to reg10 </w:t>
      </w:r>
      <w:proofErr w:type="spellStart"/>
      <w:r>
        <w:t>ister</w:t>
      </w:r>
      <w:proofErr w:type="spellEnd"/>
      <w:r>
        <w:t xml:space="preserve"> to vote, where to vote, and the </w:t>
      </w:r>
      <w:proofErr w:type="gramStart"/>
      <w:r>
        <w:t>different 11</w:t>
      </w:r>
      <w:proofErr w:type="gramEnd"/>
      <w:r>
        <w:t xml:space="preserve"> forms of </w:t>
      </w:r>
      <w:proofErr w:type="gramStart"/>
      <w:r>
        <w:t>voting;</w:t>
      </w:r>
      <w:proofErr w:type="gramEnd"/>
      <w:r>
        <w:t xml:space="preserve"> </w:t>
      </w:r>
    </w:p>
    <w:p w14:paraId="2D194959" w14:textId="77777777" w:rsidR="004C734C" w:rsidRDefault="00000000">
      <w:pPr>
        <w:numPr>
          <w:ilvl w:val="0"/>
          <w:numId w:val="7"/>
        </w:numPr>
        <w:ind w:right="0" w:hanging="2160"/>
      </w:pPr>
      <w:r>
        <w:t xml:space="preserve">(B) the history of voter suppression in the </w:t>
      </w:r>
    </w:p>
    <w:p w14:paraId="3E1F9E9E" w14:textId="77777777" w:rsidR="004C734C" w:rsidRDefault="00000000">
      <w:pPr>
        <w:numPr>
          <w:ilvl w:val="0"/>
          <w:numId w:val="7"/>
        </w:numPr>
        <w:ind w:right="0" w:hanging="2160"/>
      </w:pPr>
      <w:r>
        <w:t xml:space="preserve">United States before and after passage of the </w:t>
      </w:r>
    </w:p>
    <w:p w14:paraId="5E14F195" w14:textId="77777777" w:rsidR="004C734C" w:rsidRDefault="00000000">
      <w:pPr>
        <w:numPr>
          <w:ilvl w:val="0"/>
          <w:numId w:val="7"/>
        </w:numPr>
        <w:ind w:right="0" w:hanging="2160"/>
      </w:pPr>
      <w:r>
        <w:t xml:space="preserve">Voting Rights Act of 1965 (52 U.S.C. 10301 et </w:t>
      </w:r>
    </w:p>
    <w:p w14:paraId="6484C754" w14:textId="77777777" w:rsidR="004C734C" w:rsidRDefault="00000000">
      <w:pPr>
        <w:numPr>
          <w:ilvl w:val="0"/>
          <w:numId w:val="7"/>
        </w:numPr>
        <w:ind w:right="0" w:hanging="2160"/>
      </w:pPr>
      <w:r>
        <w:t xml:space="preserve">seq.); and </w:t>
      </w:r>
    </w:p>
    <w:p w14:paraId="54DFD86D" w14:textId="77777777" w:rsidR="004C734C" w:rsidRDefault="00000000">
      <w:pPr>
        <w:numPr>
          <w:ilvl w:val="0"/>
          <w:numId w:val="7"/>
        </w:numPr>
        <w:spacing w:after="3" w:line="420" w:lineRule="auto"/>
        <w:ind w:right="0" w:hanging="2160"/>
      </w:pPr>
      <w:r>
        <w:t xml:space="preserve">(C) current measures that have been taken 17 to restrict the </w:t>
      </w:r>
      <w:proofErr w:type="gramStart"/>
      <w:r>
        <w:t>vote;</w:t>
      </w:r>
      <w:proofErr w:type="gramEnd"/>
      <w:r>
        <w:t xml:space="preserve"> </w:t>
      </w:r>
    </w:p>
    <w:p w14:paraId="2A7EB18E" w14:textId="77777777" w:rsidR="004C734C" w:rsidRDefault="00000000">
      <w:pPr>
        <w:numPr>
          <w:ilvl w:val="0"/>
          <w:numId w:val="8"/>
        </w:numPr>
        <w:ind w:right="0" w:hanging="1600"/>
      </w:pPr>
      <w:r>
        <w:t xml:space="preserve">(5) expresses appreciation for the United States </w:t>
      </w:r>
    </w:p>
    <w:p w14:paraId="596E53E6" w14:textId="77777777" w:rsidR="004C734C" w:rsidRDefault="00000000">
      <w:pPr>
        <w:numPr>
          <w:ilvl w:val="0"/>
          <w:numId w:val="8"/>
        </w:numPr>
        <w:ind w:right="0" w:hanging="1600"/>
      </w:pPr>
      <w:r>
        <w:t xml:space="preserve">Postal Service having issued a special Representative </w:t>
      </w:r>
    </w:p>
    <w:p w14:paraId="78958B0C" w14:textId="77777777" w:rsidR="004C734C" w:rsidRDefault="00000000">
      <w:pPr>
        <w:numPr>
          <w:ilvl w:val="0"/>
          <w:numId w:val="8"/>
        </w:numPr>
        <w:ind w:right="0" w:hanging="1600"/>
      </w:pPr>
      <w:r>
        <w:t xml:space="preserve">John R. Lewis stamp— </w:t>
      </w:r>
    </w:p>
    <w:p w14:paraId="1C044C2A" w14:textId="77777777" w:rsidR="004C734C" w:rsidRDefault="00000000">
      <w:pPr>
        <w:numPr>
          <w:ilvl w:val="0"/>
          <w:numId w:val="8"/>
        </w:numPr>
        <w:spacing w:after="0" w:line="420" w:lineRule="auto"/>
        <w:ind w:right="0" w:hanging="1600"/>
      </w:pPr>
      <w:r>
        <w:t xml:space="preserve">(A) to honor the life and legacy of Rep22 </w:t>
      </w:r>
      <w:proofErr w:type="spellStart"/>
      <w:r>
        <w:t>resentative</w:t>
      </w:r>
      <w:proofErr w:type="spellEnd"/>
      <w:r>
        <w:t xml:space="preserve"> John R. Lewis in supporting voting </w:t>
      </w:r>
    </w:p>
    <w:p w14:paraId="6BEAA406" w14:textId="77777777" w:rsidR="004C734C" w:rsidRDefault="00000000">
      <w:pPr>
        <w:numPr>
          <w:ilvl w:val="0"/>
          <w:numId w:val="9"/>
        </w:numPr>
        <w:ind w:right="0" w:hanging="2160"/>
      </w:pPr>
      <w:r>
        <w:t xml:space="preserve">rights; and </w:t>
      </w:r>
    </w:p>
    <w:p w14:paraId="23A35FEF" w14:textId="77777777" w:rsidR="004C734C" w:rsidRDefault="00000000">
      <w:pPr>
        <w:numPr>
          <w:ilvl w:val="0"/>
          <w:numId w:val="9"/>
        </w:numPr>
        <w:ind w:right="0" w:hanging="2160"/>
      </w:pPr>
      <w:r>
        <w:t xml:space="preserve">(B) to remind people in the United States </w:t>
      </w:r>
    </w:p>
    <w:p w14:paraId="4DA42113" w14:textId="77777777" w:rsidR="004C734C" w:rsidRDefault="00000000">
      <w:pPr>
        <w:numPr>
          <w:ilvl w:val="0"/>
          <w:numId w:val="9"/>
        </w:numPr>
        <w:spacing w:after="0" w:line="419" w:lineRule="auto"/>
        <w:ind w:right="0" w:hanging="2160"/>
      </w:pPr>
      <w:r>
        <w:t xml:space="preserve">that </w:t>
      </w:r>
      <w:r>
        <w:tab/>
        <w:t xml:space="preserve">ordinary </w:t>
      </w:r>
      <w:r>
        <w:tab/>
        <w:t xml:space="preserve">citizens </w:t>
      </w:r>
      <w:r>
        <w:tab/>
        <w:t xml:space="preserve">risked </w:t>
      </w:r>
      <w:r>
        <w:tab/>
        <w:t xml:space="preserve">their </w:t>
      </w:r>
      <w:r>
        <w:tab/>
        <w:t xml:space="preserve">lives, 1 marched, and participated in the great democ2 racy of the United States so that all citizens </w:t>
      </w:r>
    </w:p>
    <w:p w14:paraId="2C95BA28" w14:textId="77777777" w:rsidR="004C734C" w:rsidRDefault="00000000">
      <w:pPr>
        <w:numPr>
          <w:ilvl w:val="0"/>
          <w:numId w:val="10"/>
        </w:numPr>
        <w:ind w:right="0" w:hanging="2160"/>
      </w:pPr>
      <w:r>
        <w:t xml:space="preserve">would have the fundamental right to vote; and </w:t>
      </w:r>
    </w:p>
    <w:p w14:paraId="07136BB9" w14:textId="77777777" w:rsidR="004C734C" w:rsidRDefault="00000000">
      <w:pPr>
        <w:numPr>
          <w:ilvl w:val="0"/>
          <w:numId w:val="10"/>
        </w:numPr>
        <w:ind w:right="0" w:hanging="2160"/>
      </w:pPr>
      <w:r>
        <w:t xml:space="preserve">(6) invites Congress to allocate the requisite </w:t>
      </w:r>
    </w:p>
    <w:p w14:paraId="0F184DDC" w14:textId="77777777" w:rsidR="004C734C" w:rsidRDefault="00000000">
      <w:pPr>
        <w:numPr>
          <w:ilvl w:val="0"/>
          <w:numId w:val="10"/>
        </w:numPr>
        <w:ind w:right="0" w:hanging="2160"/>
      </w:pPr>
      <w:r>
        <w:lastRenderedPageBreak/>
        <w:t xml:space="preserve">funds for public service announcements on television, </w:t>
      </w:r>
    </w:p>
    <w:p w14:paraId="326FA67F" w14:textId="77777777" w:rsidR="004C734C" w:rsidRDefault="00000000">
      <w:pPr>
        <w:numPr>
          <w:ilvl w:val="0"/>
          <w:numId w:val="10"/>
        </w:numPr>
        <w:ind w:right="0" w:hanging="2160"/>
      </w:pPr>
      <w:r>
        <w:t>radio, newspapers, magazines, social media, bill-</w:t>
      </w:r>
    </w:p>
    <w:p w14:paraId="00532B1C" w14:textId="77777777" w:rsidR="004C734C" w:rsidRDefault="00000000">
      <w:pPr>
        <w:numPr>
          <w:ilvl w:val="0"/>
          <w:numId w:val="10"/>
        </w:numPr>
        <w:ind w:right="0" w:hanging="2160"/>
      </w:pPr>
      <w:r>
        <w:t xml:space="preserve">boards, buses, and other forms of media— </w:t>
      </w:r>
    </w:p>
    <w:p w14:paraId="11A983E7" w14:textId="77777777" w:rsidR="004C734C" w:rsidRDefault="00000000">
      <w:pPr>
        <w:numPr>
          <w:ilvl w:val="0"/>
          <w:numId w:val="10"/>
        </w:numPr>
        <w:ind w:right="0" w:hanging="2160"/>
      </w:pPr>
      <w:r>
        <w:t xml:space="preserve">(A) to remind people in the United States </w:t>
      </w:r>
    </w:p>
    <w:p w14:paraId="2F35E746" w14:textId="77777777" w:rsidR="004C734C" w:rsidRDefault="00000000">
      <w:pPr>
        <w:numPr>
          <w:ilvl w:val="0"/>
          <w:numId w:val="10"/>
        </w:numPr>
        <w:ind w:right="0" w:hanging="2160"/>
      </w:pPr>
      <w:r>
        <w:t xml:space="preserve">when elections are being </w:t>
      </w:r>
      <w:proofErr w:type="gramStart"/>
      <w:r>
        <w:t>held;</w:t>
      </w:r>
      <w:proofErr w:type="gramEnd"/>
      <w:r>
        <w:t xml:space="preserve"> </w:t>
      </w:r>
    </w:p>
    <w:p w14:paraId="41F62CAC" w14:textId="77777777" w:rsidR="004C734C" w:rsidRDefault="00000000">
      <w:pPr>
        <w:numPr>
          <w:ilvl w:val="0"/>
          <w:numId w:val="10"/>
        </w:numPr>
        <w:ind w:right="0" w:hanging="2160"/>
      </w:pPr>
      <w:r>
        <w:t>(B) to share important registration dead-</w:t>
      </w:r>
    </w:p>
    <w:p w14:paraId="1C1C900A" w14:textId="77777777" w:rsidR="004C734C" w:rsidRDefault="00000000">
      <w:pPr>
        <w:numPr>
          <w:ilvl w:val="0"/>
          <w:numId w:val="10"/>
        </w:numPr>
        <w:ind w:right="0" w:hanging="2160"/>
      </w:pPr>
      <w:r>
        <w:t xml:space="preserve">lines; and </w:t>
      </w:r>
    </w:p>
    <w:p w14:paraId="0ECE8309" w14:textId="77777777" w:rsidR="004C734C" w:rsidRDefault="00000000">
      <w:pPr>
        <w:numPr>
          <w:ilvl w:val="0"/>
          <w:numId w:val="10"/>
        </w:numPr>
        <w:ind w:right="0" w:hanging="2160"/>
      </w:pPr>
      <w:r>
        <w:t xml:space="preserve">(C) to urge people to get out and vote. </w:t>
      </w:r>
    </w:p>
    <w:sectPr w:rsidR="004C734C">
      <w:headerReference w:type="even" r:id="rId7"/>
      <w:headerReference w:type="default" r:id="rId8"/>
      <w:headerReference w:type="first" r:id="rId9"/>
      <w:pgSz w:w="12240" w:h="15840"/>
      <w:pgMar w:top="1508" w:right="2517" w:bottom="1361" w:left="2520" w:header="60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5ADF" w14:textId="77777777" w:rsidR="00F4439E" w:rsidRDefault="00F4439E">
      <w:pPr>
        <w:spacing w:after="0" w:line="240" w:lineRule="auto"/>
      </w:pPr>
      <w:r>
        <w:separator/>
      </w:r>
    </w:p>
  </w:endnote>
  <w:endnote w:type="continuationSeparator" w:id="0">
    <w:p w14:paraId="18F962BE" w14:textId="77777777" w:rsidR="00F4439E" w:rsidRDefault="00F4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C315" w14:textId="77777777" w:rsidR="00F4439E" w:rsidRDefault="00F4439E">
      <w:pPr>
        <w:spacing w:after="0" w:line="240" w:lineRule="auto"/>
      </w:pPr>
      <w:r>
        <w:separator/>
      </w:r>
    </w:p>
  </w:footnote>
  <w:footnote w:type="continuationSeparator" w:id="0">
    <w:p w14:paraId="304AEA90" w14:textId="77777777" w:rsidR="00F4439E" w:rsidRDefault="00F4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AE22" w14:textId="77777777" w:rsidR="004C734C" w:rsidRDefault="00000000">
    <w:pPr>
      <w:tabs>
        <w:tab w:val="right" w:pos="7203"/>
      </w:tabs>
      <w:spacing w:after="236"/>
      <w:ind w:left="0" w:right="0" w:firstLine="0"/>
      <w:jc w:val="left"/>
    </w:pPr>
    <w:r>
      <w:rPr>
        <w:sz w:val="20"/>
      </w:rPr>
      <w:t xml:space="preserve">NEW25904 RVF </w:t>
    </w:r>
    <w:r>
      <w:rPr>
        <w:sz w:val="20"/>
      </w:rPr>
      <w:tab/>
      <w:t xml:space="preserve">S.L.C. </w:t>
    </w:r>
  </w:p>
  <w:p w14:paraId="266D1383" w14:textId="77777777" w:rsidR="004C734C" w:rsidRDefault="00000000">
    <w:pPr>
      <w:spacing w:after="0"/>
      <w:ind w:left="0" w:right="3"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1E86" w14:textId="77777777" w:rsidR="004C734C" w:rsidRDefault="00000000">
    <w:pPr>
      <w:tabs>
        <w:tab w:val="right" w:pos="7203"/>
      </w:tabs>
      <w:spacing w:after="236"/>
      <w:ind w:left="0" w:right="0" w:firstLine="0"/>
      <w:jc w:val="left"/>
    </w:pPr>
    <w:r>
      <w:rPr>
        <w:sz w:val="20"/>
      </w:rPr>
      <w:t xml:space="preserve">NEW25904 RVF </w:t>
    </w:r>
    <w:r>
      <w:rPr>
        <w:sz w:val="20"/>
      </w:rPr>
      <w:tab/>
      <w:t xml:space="preserve">S.L.C. </w:t>
    </w:r>
  </w:p>
  <w:p w14:paraId="3BD1D498" w14:textId="77777777" w:rsidR="004C734C" w:rsidRDefault="00000000">
    <w:pPr>
      <w:spacing w:after="0"/>
      <w:ind w:left="0" w:right="3" w:firstLine="0"/>
      <w:jc w:val="center"/>
    </w:pP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0431" w14:textId="77777777" w:rsidR="004C734C" w:rsidRDefault="00000000">
    <w:pPr>
      <w:tabs>
        <w:tab w:val="right" w:pos="7203"/>
      </w:tabs>
      <w:spacing w:after="0"/>
      <w:ind w:left="0" w:right="0" w:firstLine="0"/>
      <w:jc w:val="left"/>
    </w:pPr>
    <w:r>
      <w:rPr>
        <w:sz w:val="20"/>
      </w:rPr>
      <w:t xml:space="preserve">NEW25904 RVF </w:t>
    </w:r>
    <w:r>
      <w:rPr>
        <w:sz w:val="20"/>
      </w:rPr>
      <w:tab/>
      <w:t xml:space="preserve">S.L.C.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0FF"/>
    <w:multiLevelType w:val="hybridMultilevel"/>
    <w:tmpl w:val="29D40718"/>
    <w:lvl w:ilvl="0" w:tplc="76FC268E">
      <w:start w:val="10"/>
      <w:numFmt w:val="decimal"/>
      <w:lvlText w:val="%1"/>
      <w:lvlJc w:val="left"/>
      <w:pPr>
        <w:ind w:left="1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BCA8E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8659F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E4ED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96F3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4CDE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C96B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32F8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9A8A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E443F8"/>
    <w:multiLevelType w:val="hybridMultilevel"/>
    <w:tmpl w:val="ACDAC660"/>
    <w:lvl w:ilvl="0" w:tplc="DF1CD43A">
      <w:start w:val="1"/>
      <w:numFmt w:val="decimal"/>
      <w:lvlText w:val="%1"/>
      <w:lvlJc w:val="left"/>
      <w:pPr>
        <w:ind w:left="1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28E4AE">
      <w:start w:val="1"/>
      <w:numFmt w:val="lowerLetter"/>
      <w:lvlText w:val="%2"/>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F61ABA">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D8FEDC">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F4A51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4EE0E6">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60E31A">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320968">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9ECA2A">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D34708"/>
    <w:multiLevelType w:val="hybridMultilevel"/>
    <w:tmpl w:val="65526B3C"/>
    <w:lvl w:ilvl="0" w:tplc="5FB4DAEC">
      <w:start w:val="12"/>
      <w:numFmt w:val="decimal"/>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366A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D849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7EB1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56A2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0E7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1248B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09C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0EEE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2607D79"/>
    <w:multiLevelType w:val="hybridMultilevel"/>
    <w:tmpl w:val="D0EEE22A"/>
    <w:lvl w:ilvl="0" w:tplc="E42E3D94">
      <w:start w:val="6"/>
      <w:numFmt w:val="decimal"/>
      <w:lvlText w:val="%1"/>
      <w:lvlJc w:val="left"/>
      <w:pPr>
        <w:ind w:left="1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F62E28">
      <w:start w:val="1"/>
      <w:numFmt w:val="lowerLetter"/>
      <w:lvlText w:val="%2"/>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BEFF4C">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382698">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32A02C">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2A4A3E">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2C40DE">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A6A32">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E24406">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B14E1A"/>
    <w:multiLevelType w:val="hybridMultilevel"/>
    <w:tmpl w:val="EE328A56"/>
    <w:lvl w:ilvl="0" w:tplc="65224AE4">
      <w:start w:val="4"/>
      <w:numFmt w:val="decimal"/>
      <w:lvlText w:val="%1"/>
      <w:lvlJc w:val="left"/>
      <w:pPr>
        <w:ind w:left="1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6A5F12">
      <w:start w:val="1"/>
      <w:numFmt w:val="lowerLetter"/>
      <w:lvlText w:val="%2"/>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7EBCA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D2FBFC">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7E284C">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78C4A2">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9E2894">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2E2E1E">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DEBF8E">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A25C6F"/>
    <w:multiLevelType w:val="hybridMultilevel"/>
    <w:tmpl w:val="C0983B92"/>
    <w:lvl w:ilvl="0" w:tplc="E36A1A1A">
      <w:start w:val="3"/>
      <w:numFmt w:val="decimal"/>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923026">
      <w:start w:val="1"/>
      <w:numFmt w:val="lowerLetter"/>
      <w:lvlText w:val="%2"/>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F0B4AC">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5E914A">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8C4D86">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964FC8">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61CBC">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B07594">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4C57C">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6E055E1"/>
    <w:multiLevelType w:val="hybridMultilevel"/>
    <w:tmpl w:val="C2BA0F4C"/>
    <w:lvl w:ilvl="0" w:tplc="5404855C">
      <w:start w:val="23"/>
      <w:numFmt w:val="decimal"/>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62FC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4898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1CAE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E8B0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090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7201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C296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9C69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77206D2"/>
    <w:multiLevelType w:val="hybridMultilevel"/>
    <w:tmpl w:val="DA8CBCC2"/>
    <w:lvl w:ilvl="0" w:tplc="169C9C46">
      <w:start w:val="1"/>
      <w:numFmt w:val="decimal"/>
      <w:lvlText w:val="(%1)"/>
      <w:lvlJc w:val="left"/>
      <w:pPr>
        <w:ind w:left="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EA359A">
      <w:start w:val="1"/>
      <w:numFmt w:val="lowerLetter"/>
      <w:lvlText w:val="%2"/>
      <w:lvlJc w:val="left"/>
      <w:pPr>
        <w:ind w:left="2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3640E6">
      <w:start w:val="1"/>
      <w:numFmt w:val="lowerRoman"/>
      <w:lvlText w:val="%3"/>
      <w:lvlJc w:val="left"/>
      <w:pPr>
        <w:ind w:left="2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306D5E">
      <w:start w:val="1"/>
      <w:numFmt w:val="decimal"/>
      <w:lvlText w:val="%4"/>
      <w:lvlJc w:val="left"/>
      <w:pPr>
        <w:ind w:left="3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AE7FCC">
      <w:start w:val="1"/>
      <w:numFmt w:val="lowerLetter"/>
      <w:lvlText w:val="%5"/>
      <w:lvlJc w:val="left"/>
      <w:pPr>
        <w:ind w:left="4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D41FE0">
      <w:start w:val="1"/>
      <w:numFmt w:val="lowerRoman"/>
      <w:lvlText w:val="%6"/>
      <w:lvlJc w:val="left"/>
      <w:pPr>
        <w:ind w:left="5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EB7EC">
      <w:start w:val="1"/>
      <w:numFmt w:val="decimal"/>
      <w:lvlText w:val="%7"/>
      <w:lvlJc w:val="left"/>
      <w:pPr>
        <w:ind w:left="5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04D2D2">
      <w:start w:val="1"/>
      <w:numFmt w:val="lowerLetter"/>
      <w:lvlText w:val="%8"/>
      <w:lvlJc w:val="left"/>
      <w:pPr>
        <w:ind w:left="6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F07CD6">
      <w:start w:val="1"/>
      <w:numFmt w:val="lowerRoman"/>
      <w:lvlText w:val="%9"/>
      <w:lvlJc w:val="left"/>
      <w:pPr>
        <w:ind w:left="7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07539B"/>
    <w:multiLevelType w:val="hybridMultilevel"/>
    <w:tmpl w:val="6DCCC202"/>
    <w:lvl w:ilvl="0" w:tplc="73503C90">
      <w:start w:val="3"/>
      <w:numFmt w:val="decimal"/>
      <w:lvlText w:val="%1"/>
      <w:lvlJc w:val="left"/>
      <w:pPr>
        <w:ind w:left="2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C5438">
      <w:start w:val="1"/>
      <w:numFmt w:val="lowerLetter"/>
      <w:lvlText w:val="%2"/>
      <w:lvlJc w:val="left"/>
      <w:pPr>
        <w:ind w:left="1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DCD4AA">
      <w:start w:val="1"/>
      <w:numFmt w:val="lowerRoman"/>
      <w:lvlText w:val="%3"/>
      <w:lvlJc w:val="left"/>
      <w:pPr>
        <w:ind w:left="1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508776">
      <w:start w:val="1"/>
      <w:numFmt w:val="decimal"/>
      <w:lvlText w:val="%4"/>
      <w:lvlJc w:val="left"/>
      <w:pPr>
        <w:ind w:left="2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B2CBB0">
      <w:start w:val="1"/>
      <w:numFmt w:val="lowerLetter"/>
      <w:lvlText w:val="%5"/>
      <w:lvlJc w:val="left"/>
      <w:pPr>
        <w:ind w:left="3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C25E7E">
      <w:start w:val="1"/>
      <w:numFmt w:val="lowerRoman"/>
      <w:lvlText w:val="%6"/>
      <w:lvlJc w:val="left"/>
      <w:pPr>
        <w:ind w:left="4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068062">
      <w:start w:val="1"/>
      <w:numFmt w:val="decimal"/>
      <w:lvlText w:val="%7"/>
      <w:lvlJc w:val="left"/>
      <w:pPr>
        <w:ind w:left="4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24AC98">
      <w:start w:val="1"/>
      <w:numFmt w:val="lowerLetter"/>
      <w:lvlText w:val="%8"/>
      <w:lvlJc w:val="left"/>
      <w:pPr>
        <w:ind w:left="5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C175A">
      <w:start w:val="1"/>
      <w:numFmt w:val="lowerRoman"/>
      <w:lvlText w:val="%9"/>
      <w:lvlJc w:val="left"/>
      <w:pPr>
        <w:ind w:left="6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4D73EAF"/>
    <w:multiLevelType w:val="hybridMultilevel"/>
    <w:tmpl w:val="207EF170"/>
    <w:lvl w:ilvl="0" w:tplc="F1D4FFB4">
      <w:start w:val="18"/>
      <w:numFmt w:val="decimal"/>
      <w:lvlText w:val="%1"/>
      <w:lvlJc w:val="left"/>
      <w:pPr>
        <w:ind w:left="1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68BA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58D6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96D0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E24BB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3EDA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0EAC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566D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20D9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06379">
    <w:abstractNumId w:val="7"/>
  </w:num>
  <w:num w:numId="2" w16cid:durableId="1786003716">
    <w:abstractNumId w:val="1"/>
  </w:num>
  <w:num w:numId="3" w16cid:durableId="554662546">
    <w:abstractNumId w:val="4"/>
  </w:num>
  <w:num w:numId="4" w16cid:durableId="1802532022">
    <w:abstractNumId w:val="0"/>
  </w:num>
  <w:num w:numId="5" w16cid:durableId="1708530183">
    <w:abstractNumId w:val="5"/>
  </w:num>
  <w:num w:numId="6" w16cid:durableId="11154477">
    <w:abstractNumId w:val="3"/>
  </w:num>
  <w:num w:numId="7" w16cid:durableId="246964499">
    <w:abstractNumId w:val="2"/>
  </w:num>
  <w:num w:numId="8" w16cid:durableId="1933857985">
    <w:abstractNumId w:val="9"/>
  </w:num>
  <w:num w:numId="9" w16cid:durableId="1248228636">
    <w:abstractNumId w:val="6"/>
  </w:num>
  <w:num w:numId="10" w16cid:durableId="961114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4C"/>
    <w:rsid w:val="004C734C"/>
    <w:rsid w:val="008276E0"/>
    <w:rsid w:val="00D5312C"/>
    <w:rsid w:val="00F4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39CB"/>
  <w15:docId w15:val="{0241E54E-911C-4DAB-B63A-34A9A298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1" w:line="259" w:lineRule="auto"/>
      <w:ind w:left="10" w:right="2"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4226"/>
      <w:outlineLvl w:val="0"/>
    </w:pPr>
    <w:rPr>
      <w:rFonts w:ascii="Calibri" w:eastAsia="Calibri" w:hAnsi="Calibri" w:cs="Calibri"/>
      <w:color w:val="000000"/>
      <w:sz w:val="72"/>
    </w:rPr>
  </w:style>
  <w:style w:type="paragraph" w:styleId="Heading2">
    <w:name w:val="heading 2"/>
    <w:next w:val="Normal"/>
    <w:link w:val="Heading2Char"/>
    <w:uiPriority w:val="9"/>
    <w:unhideWhenUsed/>
    <w:qFormat/>
    <w:pPr>
      <w:keepNext/>
      <w:keepLines/>
      <w:spacing w:after="0" w:line="259" w:lineRule="auto"/>
      <w:ind w:right="3"/>
      <w:jc w:val="center"/>
      <w:outlineLvl w:val="1"/>
    </w:pPr>
    <w:rPr>
      <w:rFonts w:ascii="Times New Roman" w:eastAsia="Times New Roman" w:hAnsi="Times New Roman" w:cs="Times New Roman"/>
      <w:b/>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48"/>
    </w:rPr>
  </w:style>
  <w:style w:type="character" w:customStyle="1" w:styleId="Heading1Char">
    <w:name w:val="Heading 1 Char"/>
    <w:link w:val="Heading1"/>
    <w:rPr>
      <w:rFonts w:ascii="Calibri" w:eastAsia="Calibri" w:hAnsi="Calibri" w:cs="Calibri"/>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1273</Words>
  <Characters>7257</Characters>
  <Application>Microsoft Office Word</Application>
  <DocSecurity>0</DocSecurity>
  <Lines>60</Lines>
  <Paragraphs>17</Paragraphs>
  <ScaleCrop>false</ScaleCrop>
  <Company>United States Senate</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C:\Users\NEW\AppData\Local\Temp\NEW25904.loc</dc:title>
  <dc:subject/>
  <dc:creator>Gitson, Eric (Wyden)</dc:creator>
  <cp:keywords/>
  <cp:lastModifiedBy>Gitson, Eric (Wyden)</cp:lastModifiedBy>
  <cp:revision>2</cp:revision>
  <cp:lastPrinted>2025-09-16T20:04:00Z</cp:lastPrinted>
  <dcterms:created xsi:type="dcterms:W3CDTF">2025-09-16T20:05:00Z</dcterms:created>
  <dcterms:modified xsi:type="dcterms:W3CDTF">2025-09-16T20:05:00Z</dcterms:modified>
</cp:coreProperties>
</file>